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B9F7C">
      <w:pPr>
        <w:spacing w:line="480" w:lineRule="exact"/>
        <w:ind w:firstLine="640" w:firstLineChars="200"/>
        <w:jc w:val="center"/>
        <w:rPr>
          <w:rFonts w:ascii="微软雅黑" w:hAnsi="微软雅黑" w:eastAsia="微软雅黑"/>
          <w:b/>
          <w:sz w:val="32"/>
          <w:szCs w:val="32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32"/>
          <w:szCs w:val="32"/>
        </w:rPr>
        <w:t>《</w:t>
      </w:r>
      <w:r>
        <w:rPr>
          <w:rFonts w:ascii="微软雅黑" w:hAnsi="微软雅黑" w:eastAsia="微软雅黑"/>
          <w:b/>
          <w:sz w:val="32"/>
          <w:szCs w:val="32"/>
        </w:rPr>
        <w:t>基础医学院课程认证</w:t>
      </w:r>
      <w:r>
        <w:rPr>
          <w:rFonts w:hint="eastAsia" w:ascii="微软雅黑" w:hAnsi="微软雅黑" w:eastAsia="微软雅黑"/>
          <w:b/>
          <w:sz w:val="32"/>
          <w:szCs w:val="32"/>
        </w:rPr>
        <w:t>标准》</w:t>
      </w:r>
    </w:p>
    <w:p w14:paraId="226D3D20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依据兰州大学2</w:t>
      </w:r>
      <w:r>
        <w:rPr>
          <w:rFonts w:ascii="仿宋_GB2312" w:hAnsi="微软雅黑" w:eastAsia="仿宋_GB2312"/>
          <w:sz w:val="28"/>
          <w:szCs w:val="28"/>
        </w:rPr>
        <w:t>022年</w:t>
      </w:r>
      <w:r>
        <w:rPr>
          <w:rFonts w:hint="eastAsia" w:ascii="仿宋_GB2312" w:hAnsi="微软雅黑" w:eastAsia="仿宋_GB2312"/>
          <w:sz w:val="28"/>
          <w:szCs w:val="28"/>
        </w:rPr>
        <w:t>6</w:t>
      </w:r>
      <w:r>
        <w:rPr>
          <w:rFonts w:ascii="仿宋_GB2312" w:hAnsi="微软雅黑" w:eastAsia="仿宋_GB2312"/>
          <w:sz w:val="28"/>
          <w:szCs w:val="28"/>
        </w:rPr>
        <w:t>月发布的</w:t>
      </w:r>
      <w:r>
        <w:rPr>
          <w:rFonts w:hint="eastAsia" w:ascii="仿宋_GB2312" w:hAnsi="微软雅黑" w:eastAsia="仿宋_GB2312"/>
          <w:sz w:val="28"/>
          <w:szCs w:val="28"/>
        </w:rPr>
        <w:t>《兰州大学校级本科课程认证指标体系框架》，结合医学专业特点，立足卓越医师和拔尖人才培养的核心目标，制订基础医学课程认证标准。</w:t>
      </w:r>
    </w:p>
    <w:p w14:paraId="77595E86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一、基础医学课程认证的核心目标</w:t>
      </w:r>
    </w:p>
    <w:p w14:paraId="3A8C412D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1、</w:t>
      </w:r>
      <w:r>
        <w:rPr>
          <w:rFonts w:hint="eastAsia" w:ascii="仿宋_GB2312" w:hAnsi="微软雅黑" w:eastAsia="仿宋_GB2312"/>
          <w:sz w:val="28"/>
          <w:szCs w:val="28"/>
        </w:rPr>
        <w:t>提升课程的</w:t>
      </w:r>
      <w:r>
        <w:rPr>
          <w:rFonts w:ascii="仿宋_GB2312" w:hAnsi="微软雅黑" w:eastAsia="仿宋_GB2312"/>
          <w:sz w:val="28"/>
          <w:szCs w:val="28"/>
        </w:rPr>
        <w:t>高阶性</w:t>
      </w:r>
      <w:r>
        <w:rPr>
          <w:rFonts w:hint="eastAsia" w:ascii="仿宋_GB2312" w:hAnsi="微软雅黑" w:eastAsia="仿宋_GB2312"/>
          <w:sz w:val="28"/>
          <w:szCs w:val="28"/>
        </w:rPr>
        <w:t>。课程目标坚持价值、知识和能力的有机融合，培养学生解决复杂问题的综合能力和高阶思维（能体现从识记、理解、应用、分析到评价和创造的过程）；课程内容强调广度和深度，突破习惯性认知模式，培养学生好奇心、想象力、批判性思维、深度分析、勇于创新的精神和能力</w:t>
      </w:r>
    </w:p>
    <w:p w14:paraId="31AD36FC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2、</w:t>
      </w:r>
      <w:r>
        <w:rPr>
          <w:rFonts w:hint="eastAsia" w:ascii="仿宋_GB2312" w:hAnsi="微软雅黑" w:eastAsia="仿宋_GB2312"/>
          <w:sz w:val="28"/>
          <w:szCs w:val="28"/>
        </w:rPr>
        <w:t>提升课程的</w:t>
      </w:r>
      <w:r>
        <w:rPr>
          <w:rFonts w:ascii="仿宋_GB2312" w:hAnsi="微软雅黑" w:eastAsia="仿宋_GB2312"/>
          <w:sz w:val="28"/>
          <w:szCs w:val="28"/>
        </w:rPr>
        <w:t>创新性</w:t>
      </w:r>
      <w:r>
        <w:rPr>
          <w:rFonts w:hint="eastAsia" w:ascii="仿宋_GB2312" w:hAnsi="微软雅黑" w:eastAsia="仿宋_GB2312"/>
          <w:sz w:val="28"/>
          <w:szCs w:val="28"/>
        </w:rPr>
        <w:t>。教学内容体现前沿性（深度、广度、经典、前沿、专业、交叉、应用）与时代性（学情、资源、环境，主动参与、过程质量），及时将学术研究、科技发展前沿成果融入课程；教学方法体现先进性与互动性，大力推进现代信息技术与教学深度融合，积极引导学生进行探究性与个性化学习</w:t>
      </w:r>
    </w:p>
    <w:p w14:paraId="5D234101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3、</w:t>
      </w:r>
      <w:r>
        <w:rPr>
          <w:rFonts w:hint="eastAsia" w:ascii="仿宋_GB2312" w:hAnsi="微软雅黑" w:eastAsia="仿宋_GB2312"/>
          <w:sz w:val="28"/>
          <w:szCs w:val="28"/>
        </w:rPr>
        <w:t>提升课程的</w:t>
      </w:r>
      <w:r>
        <w:rPr>
          <w:rFonts w:ascii="仿宋_GB2312" w:hAnsi="微软雅黑" w:eastAsia="仿宋_GB2312"/>
          <w:sz w:val="28"/>
          <w:szCs w:val="28"/>
        </w:rPr>
        <w:t>挑战度</w:t>
      </w:r>
      <w:r>
        <w:rPr>
          <w:rFonts w:hint="eastAsia" w:ascii="仿宋_GB2312" w:hAnsi="微软雅黑" w:eastAsia="仿宋_GB2312"/>
          <w:sz w:val="28"/>
          <w:szCs w:val="28"/>
        </w:rPr>
        <w:t>。课程设计增加研究性、创新性、综合性内容，加大学生学习投入，科学“增负”，让学生体验“跳一跳才能够得着”的学习挑战；严格考核考试评价，增强学生经过刻苦学习收获能力和素质提高的成就感。确保教与学主体双方都有适当的投入度（课前、课中、课后，过程性考核）</w:t>
      </w:r>
    </w:p>
    <w:p w14:paraId="2C81ACF0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二、基础医学课程认证</w:t>
      </w:r>
      <w:r>
        <w:rPr>
          <w:rFonts w:ascii="仿宋_GB2312" w:hAnsi="微软雅黑" w:eastAsia="仿宋_GB2312"/>
          <w:sz w:val="28"/>
          <w:szCs w:val="28"/>
        </w:rPr>
        <w:t>总体要求</w:t>
      </w:r>
    </w:p>
    <w:p w14:paraId="05D44A68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1</w:t>
      </w:r>
      <w:r>
        <w:rPr>
          <w:rFonts w:hint="eastAsia" w:ascii="仿宋_GB2312" w:hAnsi="微软雅黑" w:eastAsia="仿宋_GB2312"/>
          <w:sz w:val="28"/>
          <w:szCs w:val="28"/>
        </w:rPr>
        <w:t>、对申请认证的课程做出客观的评估与诊断。评价课程教学的薄弱环节；分析存在问题的原因；采取措施支持课程与教学的改进完善。</w:t>
      </w:r>
    </w:p>
    <w:p w14:paraId="3C373BBE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</w:t>
      </w:r>
      <w:r>
        <w:rPr>
          <w:rFonts w:hint="eastAsia" w:ascii="仿宋_GB2312" w:hAnsi="微软雅黑" w:eastAsia="仿宋_GB2312"/>
          <w:sz w:val="28"/>
          <w:szCs w:val="28"/>
        </w:rPr>
        <w:t>、以认证过程引导课程建设</w:t>
      </w:r>
      <w:r>
        <w:rPr>
          <w:rFonts w:ascii="仿宋_GB2312" w:hAnsi="微软雅黑" w:eastAsia="仿宋_GB2312"/>
          <w:sz w:val="28"/>
          <w:szCs w:val="28"/>
        </w:rPr>
        <w:t>。</w:t>
      </w:r>
      <w:r>
        <w:rPr>
          <w:rFonts w:hint="eastAsia" w:ascii="仿宋_GB2312" w:hAnsi="微软雅黑" w:eastAsia="仿宋_GB2312"/>
          <w:sz w:val="28"/>
          <w:szCs w:val="28"/>
        </w:rPr>
        <w:t>引导教师重视教学、投入教学；落实好人才培养目标的“最后一公里”。</w:t>
      </w:r>
    </w:p>
    <w:p w14:paraId="2DFBB833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3</w:t>
      </w:r>
      <w:r>
        <w:rPr>
          <w:rFonts w:hint="eastAsia" w:ascii="仿宋_GB2312" w:hAnsi="微软雅黑" w:eastAsia="仿宋_GB2312"/>
          <w:sz w:val="28"/>
          <w:szCs w:val="28"/>
        </w:rPr>
        <w:t>、基于课程认证优化课程体系</w:t>
      </w:r>
      <w:r>
        <w:rPr>
          <w:rFonts w:ascii="仿宋_GB2312" w:hAnsi="微软雅黑" w:eastAsia="仿宋_GB2312"/>
          <w:sz w:val="28"/>
          <w:szCs w:val="28"/>
        </w:rPr>
        <w:t>。</w:t>
      </w:r>
      <w:r>
        <w:rPr>
          <w:rFonts w:hint="eastAsia" w:ascii="仿宋_GB2312" w:hAnsi="微软雅黑" w:eastAsia="仿宋_GB2312"/>
          <w:sz w:val="28"/>
          <w:szCs w:val="28"/>
        </w:rPr>
        <w:t>评价分析课程设置的合理性；改进课程结构，适合专业的人才培养目标。</w:t>
      </w:r>
    </w:p>
    <w:p w14:paraId="795B0289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4、通过认证提升课程的示范效应。把握全院课程的质量和水平；遴选一批优质课程推广示范；带动提高全院的课程质量。</w:t>
      </w:r>
    </w:p>
    <w:p w14:paraId="3676F90F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5、通过认证促进课程发展。实现学生与教师的协同发展；实现人才培养目标，满足学生发展需要。</w:t>
      </w:r>
    </w:p>
    <w:p w14:paraId="12F25F28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三</w:t>
      </w:r>
      <w:r>
        <w:rPr>
          <w:rFonts w:hint="eastAsia" w:ascii="仿宋_GB2312" w:hAnsi="微软雅黑" w:eastAsia="仿宋_GB2312"/>
          <w:sz w:val="28"/>
          <w:szCs w:val="28"/>
        </w:rPr>
        <w:t>、课程</w:t>
      </w:r>
      <w:r>
        <w:rPr>
          <w:rFonts w:ascii="仿宋_GB2312" w:hAnsi="微软雅黑" w:eastAsia="仿宋_GB2312"/>
          <w:sz w:val="28"/>
          <w:szCs w:val="28"/>
        </w:rPr>
        <w:t>认证标准</w:t>
      </w:r>
    </w:p>
    <w:p w14:paraId="22E8F3A4">
      <w:pPr>
        <w:spacing w:line="480" w:lineRule="exact"/>
        <w:ind w:firstLine="560" w:firstLineChars="20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围绕学校颁布的课程质量认证框架体系，结合基础医学课程特点，制订基础医学课程认证标准，以引导课程建设。突出课程认证标准的可操作性，切实加强对教学过程、教学评价、持续改进的指导。本次课程认证，是深化基础医学课程改革的重要环节，关系育人质量的提升，必须在教育教学实践中接受检验，不断完善。</w:t>
      </w:r>
    </w:p>
    <w:p w14:paraId="538303F6">
      <w:pPr>
        <w:spacing w:line="480" w:lineRule="exact"/>
        <w:ind w:firstLine="56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（一）课程背景认证</w:t>
      </w:r>
    </w:p>
    <w:p w14:paraId="5323D042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1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ascii="黑体" w:hAnsi="黑体" w:eastAsia="黑体"/>
          <w:sz w:val="28"/>
          <w:szCs w:val="28"/>
        </w:rPr>
        <w:t>目标与要求</w:t>
      </w:r>
    </w:p>
    <w:p w14:paraId="0246CA8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1.1</w:t>
      </w:r>
      <w:r>
        <w:rPr>
          <w:rFonts w:hint="eastAsia" w:ascii="仿宋_GB2312" w:hAnsi="微软雅黑" w:eastAsia="仿宋_GB2312"/>
          <w:sz w:val="28"/>
          <w:szCs w:val="28"/>
        </w:rPr>
        <w:t>以立德树人、学生发展为中心的课程理念落实到课程目标设计、教学大纲制定、教材建设中，并贯穿于课程教学全过程。</w:t>
      </w:r>
    </w:p>
    <w:p w14:paraId="6853CD3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1.2</w:t>
      </w:r>
      <w:r>
        <w:rPr>
          <w:rFonts w:hint="eastAsia" w:ascii="仿宋_GB2312" w:hAnsi="微软雅黑" w:eastAsia="仿宋_GB2312"/>
          <w:sz w:val="28"/>
          <w:szCs w:val="28"/>
        </w:rPr>
        <w:t>课程目标与专业人才培养目标映射关系明确，符合学校办学定位；从知识、能力和价值观三个维度对课程目标进行分层分类设置；课程目标指向学生应知应会，表述清晰，其达成度可测量、可评估。</w:t>
      </w:r>
    </w:p>
    <w:p w14:paraId="69111B19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1.3</w:t>
      </w:r>
      <w:r>
        <w:rPr>
          <w:rFonts w:hint="eastAsia" w:ascii="仿宋_GB2312" w:hAnsi="微软雅黑" w:eastAsia="仿宋_GB2312"/>
          <w:sz w:val="28"/>
          <w:szCs w:val="28"/>
        </w:rPr>
        <w:t>课程大纲体现课程设计的整体性，明确说明课程学习目标、学习进程、学习内容、教学方式；具体介绍对学生学业和学习参与情况的要求和评价指标等。</w:t>
      </w:r>
    </w:p>
    <w:p w14:paraId="32D98933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2、具体指标构成</w:t>
      </w:r>
    </w:p>
    <w:p w14:paraId="2474BF21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2.1 课程</w:t>
      </w:r>
      <w:r>
        <w:rPr>
          <w:rFonts w:hint="eastAsia" w:ascii="黑体" w:hAnsi="黑体" w:eastAsia="黑体"/>
          <w:sz w:val="28"/>
          <w:szCs w:val="28"/>
        </w:rPr>
        <w:t>大纲制订</w:t>
      </w:r>
    </w:p>
    <w:p w14:paraId="2DD51F3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2.1.1 教学大纲</w:t>
      </w:r>
    </w:p>
    <w:p w14:paraId="641C679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2.1.2 教学资源</w:t>
      </w:r>
    </w:p>
    <w:p w14:paraId="30BECC1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2.1.3 和同类高校相同课程比较分析</w:t>
      </w:r>
    </w:p>
    <w:p w14:paraId="22A79B91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2.2教材的选用</w:t>
      </w:r>
    </w:p>
    <w:p w14:paraId="1307D907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2.2.1 教材选用原则</w:t>
      </w:r>
    </w:p>
    <w:p w14:paraId="07F51CD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2</w:t>
      </w:r>
      <w:r>
        <w:rPr>
          <w:rFonts w:ascii="仿宋_GB2312" w:hAnsi="微软雅黑" w:eastAsia="仿宋_GB2312"/>
          <w:sz w:val="28"/>
          <w:szCs w:val="28"/>
        </w:rPr>
        <w:t xml:space="preserve">.2.2 </w:t>
      </w:r>
      <w:r>
        <w:rPr>
          <w:rFonts w:hint="eastAsia" w:ascii="仿宋_GB2312" w:hAnsi="微软雅黑" w:eastAsia="仿宋_GB2312"/>
          <w:sz w:val="28"/>
          <w:szCs w:val="28"/>
        </w:rPr>
        <w:t>所选教材的学术性、适用性</w:t>
      </w:r>
    </w:p>
    <w:p w14:paraId="2F1DA2B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 xml:space="preserve">2.2.3 </w:t>
      </w:r>
      <w:r>
        <w:rPr>
          <w:rFonts w:hint="eastAsia" w:ascii="仿宋_GB2312" w:hAnsi="微软雅黑" w:eastAsia="仿宋_GB2312"/>
          <w:sz w:val="28"/>
          <w:szCs w:val="28"/>
        </w:rPr>
        <w:t>同行</w:t>
      </w:r>
      <w:r>
        <w:rPr>
          <w:rFonts w:ascii="仿宋_GB2312" w:hAnsi="微软雅黑" w:eastAsia="仿宋_GB2312"/>
          <w:sz w:val="28"/>
          <w:szCs w:val="28"/>
        </w:rPr>
        <w:t>专家</w:t>
      </w:r>
      <w:r>
        <w:rPr>
          <w:rFonts w:hint="eastAsia" w:ascii="仿宋_GB2312" w:hAnsi="微软雅黑" w:eastAsia="仿宋_GB2312"/>
          <w:sz w:val="28"/>
          <w:szCs w:val="28"/>
        </w:rPr>
        <w:t>对该教材的评价与审核</w:t>
      </w:r>
    </w:p>
    <w:p w14:paraId="1EF8BAD3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 xml:space="preserve">2.4.3 </w:t>
      </w:r>
      <w:r>
        <w:rPr>
          <w:rFonts w:hint="eastAsia" w:ascii="仿宋_GB2312" w:hAnsi="微软雅黑" w:eastAsia="仿宋_GB2312"/>
          <w:sz w:val="28"/>
          <w:szCs w:val="28"/>
        </w:rPr>
        <w:t>学校</w:t>
      </w:r>
      <w:r>
        <w:rPr>
          <w:rFonts w:ascii="仿宋_GB2312" w:hAnsi="微软雅黑" w:eastAsia="仿宋_GB2312"/>
          <w:sz w:val="28"/>
          <w:szCs w:val="28"/>
        </w:rPr>
        <w:t>教材委员会</w:t>
      </w:r>
      <w:r>
        <w:rPr>
          <w:rFonts w:hint="eastAsia" w:ascii="仿宋_GB2312" w:hAnsi="微软雅黑" w:eastAsia="仿宋_GB2312"/>
          <w:sz w:val="28"/>
          <w:szCs w:val="28"/>
        </w:rPr>
        <w:t>对教材的</w:t>
      </w:r>
      <w:r>
        <w:rPr>
          <w:rFonts w:ascii="仿宋_GB2312" w:hAnsi="微软雅黑" w:eastAsia="仿宋_GB2312"/>
          <w:sz w:val="28"/>
          <w:szCs w:val="28"/>
        </w:rPr>
        <w:t>审核</w:t>
      </w:r>
      <w:r>
        <w:rPr>
          <w:rFonts w:hint="eastAsia" w:ascii="仿宋_GB2312" w:hAnsi="微软雅黑" w:eastAsia="仿宋_GB2312"/>
          <w:sz w:val="28"/>
          <w:szCs w:val="28"/>
        </w:rPr>
        <w:t>与评价</w:t>
      </w:r>
    </w:p>
    <w:p w14:paraId="4723F0CA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2.3 教学辅助材料</w:t>
      </w:r>
    </w:p>
    <w:p w14:paraId="48D961C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2.3.1 影像资料</w:t>
      </w:r>
    </w:p>
    <w:p w14:paraId="5689EF4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2.3.2 扩展阅读材料</w:t>
      </w:r>
    </w:p>
    <w:p w14:paraId="04AE6A8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2.3.3 课程网站</w:t>
      </w:r>
    </w:p>
    <w:p w14:paraId="3239020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2.3.4 课件</w:t>
      </w:r>
    </w:p>
    <w:p w14:paraId="4B379388">
      <w:pPr>
        <w:spacing w:line="480" w:lineRule="exact"/>
        <w:ind w:firstLine="560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2</w:t>
      </w:r>
      <w:r>
        <w:rPr>
          <w:rFonts w:ascii="微软雅黑" w:hAnsi="微软雅黑" w:eastAsia="微软雅黑"/>
          <w:sz w:val="28"/>
          <w:szCs w:val="28"/>
        </w:rPr>
        <w:t>.4 课程对专业培养目标的支撑度</w:t>
      </w:r>
    </w:p>
    <w:p w14:paraId="2E23990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2.4.1 针对的专业</w:t>
      </w:r>
    </w:p>
    <w:p w14:paraId="26B28C7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2.4.2 专业要求和课程</w:t>
      </w:r>
      <w:r>
        <w:rPr>
          <w:rFonts w:hint="eastAsia" w:ascii="仿宋_GB2312" w:hAnsi="微软雅黑" w:eastAsia="仿宋_GB2312"/>
          <w:sz w:val="28"/>
          <w:szCs w:val="28"/>
        </w:rPr>
        <w:t>目标</w:t>
      </w:r>
      <w:r>
        <w:rPr>
          <w:rFonts w:ascii="仿宋_GB2312" w:hAnsi="微软雅黑" w:eastAsia="仿宋_GB2312"/>
          <w:sz w:val="28"/>
          <w:szCs w:val="28"/>
        </w:rPr>
        <w:t>之间的关联</w:t>
      </w:r>
      <w:r>
        <w:rPr>
          <w:rFonts w:hint="eastAsia" w:ascii="仿宋_GB2312" w:hAnsi="微软雅黑" w:eastAsia="仿宋_GB2312"/>
          <w:sz w:val="28"/>
          <w:szCs w:val="28"/>
        </w:rPr>
        <w:t>分析</w:t>
      </w:r>
    </w:p>
    <w:p w14:paraId="2AC392CA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2.5 课程对学生发展的支撑度</w:t>
      </w:r>
    </w:p>
    <w:p w14:paraId="2BE315E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2.5.1 对学生专业能力的塑造</w:t>
      </w:r>
    </w:p>
    <w:p w14:paraId="41CBA2BF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2.5.2 对学生未来发展的引领</w:t>
      </w:r>
    </w:p>
    <w:p w14:paraId="49D7099E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2.6 课程</w:t>
      </w:r>
      <w:r>
        <w:rPr>
          <w:rFonts w:hint="eastAsia" w:ascii="黑体" w:hAnsi="黑体" w:eastAsia="黑体"/>
          <w:sz w:val="28"/>
          <w:szCs w:val="28"/>
        </w:rPr>
        <w:t>持续</w:t>
      </w:r>
      <w:r>
        <w:rPr>
          <w:rFonts w:ascii="黑体" w:hAnsi="黑体" w:eastAsia="黑体"/>
          <w:sz w:val="28"/>
          <w:szCs w:val="28"/>
        </w:rPr>
        <w:t>改进措施</w:t>
      </w:r>
    </w:p>
    <w:p w14:paraId="5998C06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2.6.1 课程改进的途径</w:t>
      </w:r>
    </w:p>
    <w:p w14:paraId="5419E64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2.6.2 体现课程改进的主要措施</w:t>
      </w:r>
    </w:p>
    <w:p w14:paraId="00A3970C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2.6.3 持续改进的制度保障</w:t>
      </w:r>
    </w:p>
    <w:p w14:paraId="6B138320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2.7 知识目标达成度</w:t>
      </w:r>
    </w:p>
    <w:p w14:paraId="669A478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2.7.1 明确的知识目标</w:t>
      </w:r>
    </w:p>
    <w:p w14:paraId="47B7DFD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2.7.2 知识目标达成的途径与方法</w:t>
      </w:r>
    </w:p>
    <w:p w14:paraId="7412F8FE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2.8 能力目标达成度</w:t>
      </w:r>
    </w:p>
    <w:p w14:paraId="16E729D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2.8.1 明确的能力目标</w:t>
      </w:r>
    </w:p>
    <w:p w14:paraId="3D3C5FB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2.8.2 能力目标达成的途径与方法</w:t>
      </w:r>
    </w:p>
    <w:p w14:paraId="5031B891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2.9 价值目标达成度</w:t>
      </w:r>
    </w:p>
    <w:p w14:paraId="1E826387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2.9.1 明确的价值目标</w:t>
      </w:r>
    </w:p>
    <w:p w14:paraId="6F846DA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2.9.2 价值目标达成的途径与方法</w:t>
      </w:r>
    </w:p>
    <w:p w14:paraId="3FD2ACEC">
      <w:pPr>
        <w:spacing w:line="480" w:lineRule="exact"/>
        <w:ind w:firstLine="56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（二）课程输入认证</w:t>
      </w:r>
    </w:p>
    <w:p w14:paraId="51704B47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1、目标与要求</w:t>
      </w:r>
    </w:p>
    <w:p w14:paraId="39755DEF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.1</w:t>
      </w:r>
      <w:r>
        <w:rPr>
          <w:rFonts w:hint="eastAsia" w:ascii="仿宋_GB2312" w:hAnsi="微软雅黑" w:eastAsia="仿宋_GB2312"/>
          <w:sz w:val="28"/>
          <w:szCs w:val="28"/>
        </w:rPr>
        <w:t>结合课程特点，构建科学合理的课程思政教学体系；深入挖掘课程思政元素并有机融入课程教学。</w:t>
      </w:r>
    </w:p>
    <w:p w14:paraId="281DAB4F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.2</w:t>
      </w:r>
      <w:r>
        <w:rPr>
          <w:rFonts w:hint="eastAsia" w:ascii="仿宋_GB2312" w:hAnsi="微软雅黑" w:eastAsia="仿宋_GB2312"/>
          <w:sz w:val="28"/>
          <w:szCs w:val="28"/>
        </w:rPr>
        <w:t>课程内容有助于学生达到高阶的课程学习目标；体现前沿性和时代性，反映学科专业最新发展成果和教改教研成果；内容更新和完善及时。</w:t>
      </w:r>
    </w:p>
    <w:p w14:paraId="22404EEC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.3</w:t>
      </w:r>
      <w:r>
        <w:rPr>
          <w:rFonts w:hint="eastAsia" w:ascii="仿宋_GB2312" w:hAnsi="微软雅黑" w:eastAsia="仿宋_GB2312"/>
          <w:sz w:val="28"/>
          <w:szCs w:val="28"/>
        </w:rPr>
        <w:t>有效利用现代信息技术，以多样性和互动性的教学形式，达成知识、能力、素质有机融合；培养学生解决复杂问题的综合能力和高阶思维能力。</w:t>
      </w:r>
    </w:p>
    <w:p w14:paraId="6D5223A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.4</w:t>
      </w:r>
      <w:r>
        <w:rPr>
          <w:rFonts w:hint="eastAsia" w:ascii="仿宋_GB2312" w:hAnsi="微软雅黑" w:eastAsia="仿宋_GB2312"/>
          <w:sz w:val="28"/>
          <w:szCs w:val="28"/>
        </w:rPr>
        <w:t>积极建设教学视频、慕课等优质课程资源和出版教材；内容符合学科发展、创新引领型人才培养需求和相关规定；课程资源丰富，扩展相关领域问题，信息化程度高。</w:t>
      </w:r>
    </w:p>
    <w:p w14:paraId="6C7F4FE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.5</w:t>
      </w:r>
      <w:r>
        <w:rPr>
          <w:rFonts w:hint="eastAsia" w:ascii="仿宋_GB2312" w:hAnsi="微软雅黑" w:eastAsia="仿宋_GB2312"/>
          <w:sz w:val="28"/>
          <w:szCs w:val="28"/>
        </w:rPr>
        <w:t>教学团队结构合理、运行机制良好，“传帮带”效果发挥良好；申请人在师德师风、学术造诣、教学水平等方面的成果及实绩突出。</w:t>
      </w:r>
    </w:p>
    <w:p w14:paraId="5A88F4CA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2、具体指标构成</w:t>
      </w:r>
    </w:p>
    <w:p w14:paraId="335FF249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</w:t>
      </w:r>
      <w:r>
        <w:rPr>
          <w:rFonts w:ascii="黑体" w:hAnsi="黑体" w:eastAsia="黑体"/>
          <w:sz w:val="28"/>
          <w:szCs w:val="28"/>
        </w:rPr>
        <w:t>.1 课程建设成效</w:t>
      </w:r>
      <w:r>
        <w:rPr>
          <w:rFonts w:hint="eastAsia" w:ascii="黑体" w:hAnsi="黑体" w:eastAsia="黑体"/>
          <w:sz w:val="28"/>
          <w:szCs w:val="28"/>
        </w:rPr>
        <w:t>分析</w:t>
      </w:r>
    </w:p>
    <w:p w14:paraId="0DFB1E1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2.1.1 课程系统性</w:t>
      </w:r>
    </w:p>
    <w:p w14:paraId="75BD1FF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2.1.2 课程前沿性</w:t>
      </w:r>
    </w:p>
    <w:p w14:paraId="737FD32A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2.1.3 课程交叉性</w:t>
      </w:r>
    </w:p>
    <w:p w14:paraId="09D4F875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2.1.4 课程更新度</w:t>
      </w:r>
    </w:p>
    <w:p w14:paraId="5D6E5BC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2</w:t>
      </w:r>
      <w:r>
        <w:rPr>
          <w:rFonts w:ascii="仿宋_GB2312" w:hAnsi="微软雅黑" w:eastAsia="仿宋_GB2312"/>
          <w:sz w:val="28"/>
          <w:szCs w:val="28"/>
        </w:rPr>
        <w:t>.1.5 课程挑战度</w:t>
      </w:r>
    </w:p>
    <w:p w14:paraId="0429A07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2.1.6 反映课程建设的教学成果</w:t>
      </w:r>
    </w:p>
    <w:p w14:paraId="77CE8CB1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</w:t>
      </w:r>
      <w:r>
        <w:rPr>
          <w:rFonts w:ascii="黑体" w:hAnsi="黑体" w:eastAsia="黑体"/>
          <w:sz w:val="28"/>
          <w:szCs w:val="28"/>
        </w:rPr>
        <w:t>.2基层教学组织管理</w:t>
      </w:r>
      <w:r>
        <w:rPr>
          <w:rFonts w:hint="eastAsia" w:ascii="黑体" w:hAnsi="黑体" w:eastAsia="黑体"/>
          <w:sz w:val="28"/>
          <w:szCs w:val="28"/>
        </w:rPr>
        <w:t>体系</w:t>
      </w:r>
    </w:p>
    <w:p w14:paraId="49F85E8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2.2.1 主任职责</w:t>
      </w:r>
      <w:r>
        <w:rPr>
          <w:rFonts w:hint="eastAsia" w:ascii="仿宋_GB2312" w:hAnsi="微软雅黑" w:eastAsia="仿宋_GB2312"/>
          <w:sz w:val="28"/>
          <w:szCs w:val="28"/>
        </w:rPr>
        <w:t>及工作制度</w:t>
      </w:r>
    </w:p>
    <w:p w14:paraId="584F678A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2.2.2 教秘职责及工作制度</w:t>
      </w:r>
    </w:p>
    <w:p w14:paraId="7943F4B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2.2.3 课程负责人职责</w:t>
      </w:r>
      <w:r>
        <w:rPr>
          <w:rFonts w:hint="eastAsia" w:ascii="仿宋_GB2312" w:hAnsi="微软雅黑" w:eastAsia="仿宋_GB2312"/>
          <w:sz w:val="28"/>
          <w:szCs w:val="28"/>
        </w:rPr>
        <w:t>及工作制度</w:t>
      </w:r>
    </w:p>
    <w:p w14:paraId="3F0F292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2.2.4 教师职责</w:t>
      </w:r>
    </w:p>
    <w:p w14:paraId="43AAAAF0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2.3 教学制度的完善与知晓度</w:t>
      </w:r>
    </w:p>
    <w:p w14:paraId="056C970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2.3.1 教学管理制度</w:t>
      </w:r>
    </w:p>
    <w:p w14:paraId="31E99E5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2.3.2 制度落实的方法与措施</w:t>
      </w:r>
    </w:p>
    <w:p w14:paraId="6A6D1493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2.3.3 亟待完善的制度与规范</w:t>
      </w:r>
    </w:p>
    <w:p w14:paraId="757E9A22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2.4 教学团队</w:t>
      </w:r>
    </w:p>
    <w:p w14:paraId="14EBFA2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2.4.1 负责人及职责</w:t>
      </w:r>
    </w:p>
    <w:p w14:paraId="3BE83795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 xml:space="preserve">2.4.2 </w:t>
      </w:r>
      <w:r>
        <w:rPr>
          <w:rFonts w:hint="eastAsia" w:ascii="仿宋_GB2312" w:hAnsi="微软雅黑" w:eastAsia="仿宋_GB2312"/>
          <w:sz w:val="28"/>
          <w:szCs w:val="28"/>
        </w:rPr>
        <w:t>成员</w:t>
      </w:r>
      <w:r>
        <w:rPr>
          <w:rFonts w:ascii="仿宋_GB2312" w:hAnsi="微软雅黑" w:eastAsia="仿宋_GB2312"/>
          <w:sz w:val="28"/>
          <w:szCs w:val="28"/>
        </w:rPr>
        <w:t>构成及具体职责</w:t>
      </w:r>
    </w:p>
    <w:p w14:paraId="58A3D99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2</w:t>
      </w:r>
      <w:r>
        <w:rPr>
          <w:rFonts w:ascii="仿宋_GB2312" w:hAnsi="微软雅黑" w:eastAsia="仿宋_GB2312"/>
          <w:sz w:val="28"/>
          <w:szCs w:val="28"/>
        </w:rPr>
        <w:t>.4.3 新教师培养路径及措施</w:t>
      </w:r>
    </w:p>
    <w:p w14:paraId="56A9164F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2.5 教学团队建设</w:t>
      </w:r>
    </w:p>
    <w:p w14:paraId="2FC9C3F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2.5.1 团队建设原则与思路</w:t>
      </w:r>
    </w:p>
    <w:p w14:paraId="6A6FD0D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2.5.2 团队建设路径与措施</w:t>
      </w:r>
    </w:p>
    <w:p w14:paraId="5EAAC5F4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2.6 教学团队发展规划</w:t>
      </w:r>
    </w:p>
    <w:p w14:paraId="58790E49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2.6.1 发展目标</w:t>
      </w:r>
    </w:p>
    <w:p w14:paraId="3725EEE5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2.6.2 发展现状</w:t>
      </w:r>
    </w:p>
    <w:p w14:paraId="01A14F4A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2.6.3 未来五年规划</w:t>
      </w:r>
    </w:p>
    <w:p w14:paraId="68DC77E2">
      <w:pPr>
        <w:spacing w:line="480" w:lineRule="exact"/>
        <w:ind w:firstLine="56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（三）课程过程认证</w:t>
      </w:r>
    </w:p>
    <w:p w14:paraId="46371828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1、目标与要求</w:t>
      </w:r>
    </w:p>
    <w:p w14:paraId="01F18C3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>.1</w:t>
      </w:r>
      <w:r>
        <w:rPr>
          <w:rFonts w:hint="eastAsia" w:ascii="仿宋_GB2312" w:hAnsi="微软雅黑" w:eastAsia="仿宋_GB2312"/>
          <w:sz w:val="28"/>
          <w:szCs w:val="28"/>
        </w:rPr>
        <w:t>以学生取得学习成果为出发点，采用多种方法组合和创新，促进学生深度参与，关注个体差异。</w:t>
      </w:r>
    </w:p>
    <w:p w14:paraId="768C8A8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 xml:space="preserve">.2 </w:t>
      </w:r>
      <w:r>
        <w:rPr>
          <w:rFonts w:hint="eastAsia" w:ascii="仿宋_GB2312" w:hAnsi="微软雅黑" w:eastAsia="仿宋_GB2312"/>
          <w:sz w:val="28"/>
          <w:szCs w:val="28"/>
        </w:rPr>
        <w:t>教与学活动与课程目标映射关系清晰，能覆盖所有课程目标；合理设计教学环节，课程学习活动充分支持学生的互动和参与，促进学生主动学习和深度参与，有效帮助学力不足的学生达成课程目标。</w:t>
      </w:r>
    </w:p>
    <w:p w14:paraId="2C3F52E7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 xml:space="preserve">.3 </w:t>
      </w:r>
      <w:r>
        <w:rPr>
          <w:rFonts w:hint="eastAsia" w:ascii="仿宋_GB2312" w:hAnsi="微软雅黑" w:eastAsia="仿宋_GB2312"/>
          <w:sz w:val="28"/>
          <w:szCs w:val="28"/>
        </w:rPr>
        <w:t>严格执行学生学习管理制度，学习相关材料（如：作业、试卷、成绩等）记录、存档完整；教学过程材料完整可回溯（如：教学设计、教学资料、教学反思、学习分析等），可如实反映课程运行实况及效果。</w:t>
      </w:r>
    </w:p>
    <w:p w14:paraId="5B50EE55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 xml:space="preserve">.4 </w:t>
      </w:r>
      <w:r>
        <w:rPr>
          <w:rFonts w:hint="eastAsia" w:ascii="仿宋_GB2312" w:hAnsi="微软雅黑" w:eastAsia="仿宋_GB2312"/>
          <w:sz w:val="28"/>
          <w:szCs w:val="28"/>
        </w:rPr>
        <w:t>紧密围绕课程目标设置多维度、多元化学习评价方案；采用循序渐进、多种多样，适合课程等级水平的过程性评价，实现学生发展的整体评价。</w:t>
      </w:r>
    </w:p>
    <w:p w14:paraId="49AB4D39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ascii="黑体" w:hAnsi="黑体" w:eastAsia="黑体"/>
          <w:sz w:val="28"/>
          <w:szCs w:val="28"/>
        </w:rPr>
        <w:t>具体指标构成</w:t>
      </w:r>
    </w:p>
    <w:p w14:paraId="75CA5E0C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2.1 课前</w:t>
      </w:r>
    </w:p>
    <w:p w14:paraId="6F86FB53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2.1.1 教学资源与学习任务</w:t>
      </w:r>
    </w:p>
    <w:p w14:paraId="2864A0D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2.1.2 督学与导学</w:t>
      </w:r>
    </w:p>
    <w:p w14:paraId="377BB53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2.1.3 任务完成情况</w:t>
      </w:r>
    </w:p>
    <w:p w14:paraId="1FE40002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2.2 课堂</w:t>
      </w:r>
    </w:p>
    <w:p w14:paraId="08E11E5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2.2.2 学情分析</w:t>
      </w:r>
    </w:p>
    <w:p w14:paraId="3F552893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2.2.3 教学设计</w:t>
      </w:r>
    </w:p>
    <w:p w14:paraId="410261C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2.2.4 教学模式</w:t>
      </w:r>
    </w:p>
    <w:p w14:paraId="136CCE2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2.2.5 教学目标</w:t>
      </w:r>
    </w:p>
    <w:p w14:paraId="502C977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2.2.6 教学效果</w:t>
      </w:r>
    </w:p>
    <w:p w14:paraId="59BC6588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2.3 课后</w:t>
      </w:r>
    </w:p>
    <w:p w14:paraId="2B900B6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2.3.1 作业与任务</w:t>
      </w:r>
    </w:p>
    <w:p w14:paraId="5012C8C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2.3.2 督学与导学</w:t>
      </w:r>
    </w:p>
    <w:p w14:paraId="5AE6596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2.3.3 评价与反馈</w:t>
      </w:r>
    </w:p>
    <w:p w14:paraId="28B64B6D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2.4 形成性评价</w:t>
      </w:r>
    </w:p>
    <w:p w14:paraId="747864E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2.4.1 方法与措施</w:t>
      </w:r>
    </w:p>
    <w:p w14:paraId="49C480C9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2.4.2 反馈途径</w:t>
      </w:r>
    </w:p>
    <w:p w14:paraId="128D6AC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2.4.3 效度分析</w:t>
      </w:r>
    </w:p>
    <w:p w14:paraId="5645F9E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2.4.4 针对反馈的改进</w:t>
      </w:r>
    </w:p>
    <w:p w14:paraId="55911A2A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2.5 终结性评价</w:t>
      </w:r>
    </w:p>
    <w:p w14:paraId="3AA591C7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2.5.1 方法与措施</w:t>
      </w:r>
    </w:p>
    <w:p w14:paraId="7CD654EF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2.5.2 反馈途径</w:t>
      </w:r>
    </w:p>
    <w:p w14:paraId="4585464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2.5.3 效度分析</w:t>
      </w:r>
    </w:p>
    <w:p w14:paraId="6F4023F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2.5.4 针对反馈的改进</w:t>
      </w:r>
    </w:p>
    <w:p w14:paraId="7A5E9067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2.6 日常教学管理的规范化</w:t>
      </w:r>
    </w:p>
    <w:p w14:paraId="18D6B60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2.6.1 教学管理流程</w:t>
      </w:r>
    </w:p>
    <w:p w14:paraId="00121911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2.6.2 教学日志</w:t>
      </w:r>
    </w:p>
    <w:p w14:paraId="5158519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2.6.3 教学文件的管理（试卷、成绩、作业等）</w:t>
      </w:r>
    </w:p>
    <w:p w14:paraId="443E81A5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2.7 教学事故防范与处置</w:t>
      </w:r>
    </w:p>
    <w:p w14:paraId="2D00671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2.7.1 教学事故认定标准</w:t>
      </w:r>
    </w:p>
    <w:p w14:paraId="0380AB04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2.7.2 教学事故处理办法</w:t>
      </w:r>
    </w:p>
    <w:p w14:paraId="334B20A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2.7.3 教学事故防范措施</w:t>
      </w:r>
    </w:p>
    <w:p w14:paraId="18A097F8">
      <w:pPr>
        <w:spacing w:line="480" w:lineRule="exact"/>
        <w:ind w:firstLine="56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（四）课程结果认证</w:t>
      </w:r>
    </w:p>
    <w:p w14:paraId="6DA784E3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1、目标与要求</w:t>
      </w:r>
    </w:p>
    <w:p w14:paraId="2BAB110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 xml:space="preserve">.1 </w:t>
      </w:r>
      <w:r>
        <w:rPr>
          <w:rFonts w:hint="eastAsia" w:ascii="仿宋_GB2312" w:hAnsi="微软雅黑" w:eastAsia="仿宋_GB2312"/>
          <w:sz w:val="28"/>
          <w:szCs w:val="28"/>
        </w:rPr>
        <w:t>针对学生、专家、同行评教等反馈的意见建议，积极反思和提出改进方案，有效促进了课程质量持续改进；课程教学改革（课程建设）卓有成效，具有推广价值。</w:t>
      </w:r>
    </w:p>
    <w:p w14:paraId="7C39C15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1</w:t>
      </w:r>
      <w:r>
        <w:rPr>
          <w:rFonts w:ascii="仿宋_GB2312" w:hAnsi="微软雅黑" w:eastAsia="仿宋_GB2312"/>
          <w:sz w:val="28"/>
          <w:szCs w:val="28"/>
        </w:rPr>
        <w:t xml:space="preserve">.2 </w:t>
      </w:r>
      <w:r>
        <w:rPr>
          <w:rFonts w:hint="eastAsia" w:ascii="仿宋_GB2312" w:hAnsi="微软雅黑" w:eastAsia="仿宋_GB2312"/>
          <w:sz w:val="28"/>
          <w:szCs w:val="28"/>
        </w:rPr>
        <w:t>监测学生学习全过程和成果，有明确的反馈环节，结果反馈及时；课程过程考核、课程成绩等能客观反映学生的课程投入和学习成果。</w:t>
      </w:r>
    </w:p>
    <w:p w14:paraId="2D69D904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2、具体指标构成</w:t>
      </w:r>
    </w:p>
    <w:p w14:paraId="671E2B74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</w:t>
      </w:r>
      <w:r>
        <w:rPr>
          <w:rFonts w:ascii="黑体" w:hAnsi="黑体" w:eastAsia="黑体"/>
          <w:sz w:val="28"/>
          <w:szCs w:val="28"/>
        </w:rPr>
        <w:t>.1</w:t>
      </w:r>
      <w:r>
        <w:rPr>
          <w:rFonts w:hint="eastAsia" w:ascii="黑体" w:hAnsi="黑体" w:eastAsia="黑体"/>
          <w:sz w:val="28"/>
          <w:szCs w:val="28"/>
        </w:rPr>
        <w:t>教学效果评价</w:t>
      </w:r>
    </w:p>
    <w:p w14:paraId="46EAF7FD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2.1.1 学生评教</w:t>
      </w:r>
    </w:p>
    <w:p w14:paraId="3F388066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2.2.2 教师评教</w:t>
      </w:r>
    </w:p>
    <w:p w14:paraId="75A29A93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2.2.3 公开课</w:t>
      </w:r>
    </w:p>
    <w:p w14:paraId="7A10EB37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2.2 评教结果分析与改进</w:t>
      </w:r>
    </w:p>
    <w:p w14:paraId="761C99E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2.2.1 主要问题</w:t>
      </w:r>
    </w:p>
    <w:p w14:paraId="2DB24E3E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2</w:t>
      </w:r>
      <w:r>
        <w:rPr>
          <w:rFonts w:ascii="仿宋_GB2312" w:hAnsi="微软雅黑" w:eastAsia="仿宋_GB2312"/>
          <w:sz w:val="28"/>
          <w:szCs w:val="28"/>
        </w:rPr>
        <w:t>.2.2 反馈路径</w:t>
      </w:r>
    </w:p>
    <w:p w14:paraId="3B44C4DB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2.2.3 改进措施</w:t>
      </w:r>
    </w:p>
    <w:p w14:paraId="7243E0BA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</w:t>
      </w:r>
      <w:r>
        <w:rPr>
          <w:rFonts w:ascii="黑体" w:hAnsi="黑体" w:eastAsia="黑体"/>
          <w:sz w:val="28"/>
          <w:szCs w:val="28"/>
        </w:rPr>
        <w:t>.3</w:t>
      </w:r>
      <w:r>
        <w:rPr>
          <w:rFonts w:hint="eastAsia" w:ascii="黑体" w:hAnsi="黑体" w:eastAsia="黑体"/>
          <w:sz w:val="28"/>
          <w:szCs w:val="28"/>
        </w:rPr>
        <w:t>教学创新的关键措施</w:t>
      </w:r>
    </w:p>
    <w:p w14:paraId="7E15FD42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2.3.1 内容创新</w:t>
      </w:r>
    </w:p>
    <w:p w14:paraId="2CA1B82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2.3.2 体系创新</w:t>
      </w:r>
    </w:p>
    <w:p w14:paraId="532173DF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2.3.3 模式创新</w:t>
      </w:r>
    </w:p>
    <w:p w14:paraId="45672075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2.3.4 评价创新</w:t>
      </w:r>
    </w:p>
    <w:p w14:paraId="2054F84E">
      <w:pPr>
        <w:spacing w:line="480" w:lineRule="exact"/>
        <w:ind w:firstLine="56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2.4 教学创新效果</w:t>
      </w:r>
    </w:p>
    <w:p w14:paraId="76C68CF8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2.4.1 教师层面</w:t>
      </w:r>
    </w:p>
    <w:p w14:paraId="0FEB85E9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ascii="仿宋_GB2312" w:hAnsi="微软雅黑" w:eastAsia="仿宋_GB2312"/>
          <w:sz w:val="28"/>
          <w:szCs w:val="28"/>
        </w:rPr>
        <w:t>2.4.2 学生层面</w:t>
      </w:r>
    </w:p>
    <w:p w14:paraId="00EE6AD0">
      <w:pPr>
        <w:spacing w:line="480" w:lineRule="exact"/>
        <w:ind w:firstLine="560"/>
        <w:rPr>
          <w:rFonts w:ascii="仿宋_GB2312" w:hAnsi="微软雅黑" w:eastAsia="仿宋_GB2312"/>
          <w:sz w:val="28"/>
          <w:szCs w:val="28"/>
        </w:rPr>
      </w:pPr>
      <w:r>
        <w:rPr>
          <w:rFonts w:hint="eastAsia" w:ascii="仿宋_GB2312" w:hAnsi="微软雅黑" w:eastAsia="仿宋_GB2312"/>
          <w:sz w:val="28"/>
          <w:szCs w:val="28"/>
        </w:rPr>
        <w:t>2</w:t>
      </w:r>
      <w:r>
        <w:rPr>
          <w:rFonts w:ascii="仿宋_GB2312" w:hAnsi="微软雅黑" w:eastAsia="仿宋_GB2312"/>
          <w:sz w:val="28"/>
          <w:szCs w:val="28"/>
        </w:rPr>
        <w:t>.4.3 推广情况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263"/>
    <w:rsid w:val="0000412E"/>
    <w:rsid w:val="0001219A"/>
    <w:rsid w:val="00023B11"/>
    <w:rsid w:val="00025579"/>
    <w:rsid w:val="00080EDD"/>
    <w:rsid w:val="000B2B23"/>
    <w:rsid w:val="000E0552"/>
    <w:rsid w:val="00107E63"/>
    <w:rsid w:val="001151E6"/>
    <w:rsid w:val="001217FD"/>
    <w:rsid w:val="00126EEF"/>
    <w:rsid w:val="00172DC5"/>
    <w:rsid w:val="001876BB"/>
    <w:rsid w:val="00220F58"/>
    <w:rsid w:val="002237E0"/>
    <w:rsid w:val="0029056B"/>
    <w:rsid w:val="0029688C"/>
    <w:rsid w:val="002C706B"/>
    <w:rsid w:val="002C736E"/>
    <w:rsid w:val="0032769C"/>
    <w:rsid w:val="00327840"/>
    <w:rsid w:val="003C73AB"/>
    <w:rsid w:val="003F4224"/>
    <w:rsid w:val="003F50C2"/>
    <w:rsid w:val="00442C80"/>
    <w:rsid w:val="00486B22"/>
    <w:rsid w:val="004B0D53"/>
    <w:rsid w:val="005803B2"/>
    <w:rsid w:val="005A13BE"/>
    <w:rsid w:val="005E097C"/>
    <w:rsid w:val="005E4BEB"/>
    <w:rsid w:val="005F785B"/>
    <w:rsid w:val="006558D5"/>
    <w:rsid w:val="006734A7"/>
    <w:rsid w:val="006A6A50"/>
    <w:rsid w:val="006C2788"/>
    <w:rsid w:val="006E52D0"/>
    <w:rsid w:val="006E6648"/>
    <w:rsid w:val="00705F1C"/>
    <w:rsid w:val="00733A8D"/>
    <w:rsid w:val="00743667"/>
    <w:rsid w:val="00752099"/>
    <w:rsid w:val="00752BE1"/>
    <w:rsid w:val="00764E5F"/>
    <w:rsid w:val="00770038"/>
    <w:rsid w:val="007862AF"/>
    <w:rsid w:val="00790916"/>
    <w:rsid w:val="00796762"/>
    <w:rsid w:val="007B32B9"/>
    <w:rsid w:val="007B6E64"/>
    <w:rsid w:val="007C0ABE"/>
    <w:rsid w:val="007E0E5B"/>
    <w:rsid w:val="007F1263"/>
    <w:rsid w:val="00841A68"/>
    <w:rsid w:val="008D0F6A"/>
    <w:rsid w:val="008D3C7A"/>
    <w:rsid w:val="008F574E"/>
    <w:rsid w:val="00916756"/>
    <w:rsid w:val="00943C0B"/>
    <w:rsid w:val="00971C05"/>
    <w:rsid w:val="00977E6A"/>
    <w:rsid w:val="009D738D"/>
    <w:rsid w:val="00A05866"/>
    <w:rsid w:val="00A13217"/>
    <w:rsid w:val="00A240FE"/>
    <w:rsid w:val="00A8125B"/>
    <w:rsid w:val="00AE3A76"/>
    <w:rsid w:val="00BA0E37"/>
    <w:rsid w:val="00BD3536"/>
    <w:rsid w:val="00BF2A1F"/>
    <w:rsid w:val="00CA5793"/>
    <w:rsid w:val="00CC2674"/>
    <w:rsid w:val="00D20865"/>
    <w:rsid w:val="00D30D0F"/>
    <w:rsid w:val="00DA028D"/>
    <w:rsid w:val="00DA5AE5"/>
    <w:rsid w:val="00DC7D39"/>
    <w:rsid w:val="00DE16EF"/>
    <w:rsid w:val="00DE184C"/>
    <w:rsid w:val="00DF06A7"/>
    <w:rsid w:val="00E01F88"/>
    <w:rsid w:val="00E1313F"/>
    <w:rsid w:val="00E14BCD"/>
    <w:rsid w:val="00E94181"/>
    <w:rsid w:val="00ED249F"/>
    <w:rsid w:val="00F204D6"/>
    <w:rsid w:val="00F96F80"/>
    <w:rsid w:val="00FA05B4"/>
    <w:rsid w:val="00FD0309"/>
    <w:rsid w:val="00FD5CDD"/>
    <w:rsid w:val="00FD6B85"/>
    <w:rsid w:val="206A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8C1B6-B047-4175-9FB8-E909A2DFFF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4710</Words>
  <Characters>5134</Characters>
  <Lines>38</Lines>
  <Paragraphs>10</Paragraphs>
  <TotalTime>498</TotalTime>
  <ScaleCrop>false</ScaleCrop>
  <LinksUpToDate>false</LinksUpToDate>
  <CharactersWithSpaces>5285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2021-12-07T02:39:00Z</dcterms:created>
  <dc:creator>lenovo</dc:creator>
  <cp:lastModifiedBy>shixr</cp:lastModifiedBy>
  <cp:lastPrinted>2022-06-20T11:58:00Z</cp:lastPrinted>
  <dcterms:modified xsi:type="dcterms:W3CDTF">2026-10-19T02:10:21Z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eyJoZGlkIjoiMDQyMDBmMzUzYjVmNjliMTFjNDMyODEyYzQ2ZWQ4NTUiLCJ1c2VySWQiOiIyMzM5MTg5OTkifQ==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91F7A96979AE448DA776164F526C8F98_12</vt:lpwstr>
  </property>
</Properties>
</file>